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17" w:rsidRDefault="004B2B97" w:rsidP="00753F97">
      <w:pPr>
        <w:jc w:val="left"/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</w:pPr>
      <w:bookmarkStart w:id="0" w:name="_GoBack"/>
      <w:bookmarkEnd w:id="0"/>
      <w:r w:rsidRPr="002D727B"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  <w:t>Background Information</w:t>
      </w:r>
    </w:p>
    <w:p w:rsidR="00B42217" w:rsidRPr="00251D42" w:rsidRDefault="004B2B97" w:rsidP="00753F97">
      <w:pPr>
        <w:jc w:val="left"/>
        <w:rPr>
          <w:rFonts w:ascii="Calibri" w:eastAsia="Times New Roman" w:hAnsi="Calibri" w:cs="Times New Roman"/>
          <w:color w:val="17365D"/>
          <w:sz w:val="24"/>
          <w:szCs w:val="24"/>
          <w:lang w:eastAsia="en-AU"/>
        </w:rPr>
      </w:pPr>
      <w:r w:rsidRPr="00251D42">
        <w:rPr>
          <w:rFonts w:ascii="Calibri" w:eastAsia="Times New Roman" w:hAnsi="Calibri" w:cs="Times New Roman"/>
          <w:color w:val="17365D"/>
          <w:sz w:val="24"/>
          <w:szCs w:val="24"/>
          <w:lang w:eastAsia="en-AU"/>
        </w:rPr>
        <w:t>This test is to detect the presence o</w:t>
      </w:r>
      <w:r>
        <w:rPr>
          <w:rFonts w:ascii="Calibri" w:eastAsia="Times New Roman" w:hAnsi="Calibri" w:cs="Times New Roman"/>
          <w:color w:val="17365D"/>
          <w:sz w:val="24"/>
          <w:szCs w:val="24"/>
          <w:lang w:eastAsia="en-AU"/>
        </w:rPr>
        <w:t xml:space="preserve">f an infection caused by toxin </w:t>
      </w:r>
      <w:r w:rsidRPr="00251D42">
        <w:rPr>
          <w:rFonts w:ascii="Calibri" w:eastAsia="Times New Roman" w:hAnsi="Calibri" w:cs="Times New Roman"/>
          <w:color w:val="17365D"/>
          <w:sz w:val="24"/>
          <w:szCs w:val="24"/>
          <w:lang w:eastAsia="en-AU"/>
        </w:rPr>
        <w:t xml:space="preserve">producing in Clostridium difficile bacteria </w:t>
      </w:r>
    </w:p>
    <w:p w:rsidR="00B42217" w:rsidRPr="002D727B" w:rsidRDefault="004B2B97" w:rsidP="00753F97">
      <w:pPr>
        <w:jc w:val="left"/>
        <w:rPr>
          <w:rFonts w:ascii="Calibri" w:eastAsia="Times New Roman" w:hAnsi="Calibri" w:cs="Times New Roman"/>
          <w:b/>
          <w:color w:val="17365D"/>
          <w:sz w:val="24"/>
          <w:szCs w:val="24"/>
          <w:lang w:eastAsia="en-AU"/>
        </w:rPr>
      </w:pPr>
    </w:p>
    <w:p w:rsidR="00B42217" w:rsidRDefault="004B2B97" w:rsidP="00040FBC">
      <w:pPr>
        <w:jc w:val="left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COLLECTION GUIDE</w:t>
      </w:r>
    </w:p>
    <w:p w:rsidR="00B42217" w:rsidRPr="000971D8" w:rsidRDefault="004B2B97" w:rsidP="00040FBC">
      <w:pPr>
        <w:jc w:val="left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0971D8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Equipment</w:t>
      </w:r>
    </w:p>
    <w:p w:rsidR="00B42217" w:rsidRDefault="004B2B97" w:rsidP="000971D8">
      <w:pPr>
        <w:overflowPunct w:val="0"/>
        <w:autoSpaceDE w:val="0"/>
        <w:autoSpaceDN w:val="0"/>
        <w:adjustRightInd w:val="0"/>
        <w:spacing w:before="100" w:after="200"/>
        <w:ind w:left="1440" w:hanging="101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1 X 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 xml:space="preserve">White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container with brown screw top.                             Gloves will be provided, if required.  </w:t>
      </w:r>
    </w:p>
    <w:p w:rsidR="00B42217" w:rsidRDefault="004B2B97" w:rsidP="000971D8">
      <w:pPr>
        <w:overflowPunct w:val="0"/>
        <w:autoSpaceDE w:val="0"/>
        <w:autoSpaceDN w:val="0"/>
        <w:adjustRightInd w:val="0"/>
        <w:spacing w:before="100" w:after="200"/>
        <w:ind w:left="1440" w:hanging="101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</w:t>
      </w:r>
      <w:r>
        <w:rPr>
          <w:rFonts w:ascii="Calibri" w:eastAsia="Times New Roman" w:hAnsi="Calibri" w:cs="Times New Roman"/>
          <w:noProof/>
          <w:color w:val="17365D"/>
          <w:lang w:eastAsia="en-AU"/>
        </w:rPr>
        <w:drawing>
          <wp:inline distT="0" distB="0" distL="0" distR="0">
            <wp:extent cx="1743075" cy="1426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ces container with scoop display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481" cy="142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                                 </w:t>
      </w:r>
      <w:r>
        <w:rPr>
          <w:rFonts w:ascii="Calibri" w:eastAsia="Times New Roman" w:hAnsi="Calibri" w:cs="Times New Roman"/>
          <w:noProof/>
          <w:color w:val="17365D"/>
          <w:lang w:eastAsia="en-AU"/>
        </w:rPr>
        <w:drawing>
          <wp:inline distT="0" distB="0" distL="0" distR="0">
            <wp:extent cx="765550" cy="1307766"/>
            <wp:effectExtent l="247650" t="114300" r="225425" b="831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0021">
                      <a:off x="0" y="0"/>
                      <a:ext cx="769897" cy="131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217" w:rsidRPr="000971D8" w:rsidRDefault="004B2B97" w:rsidP="000971D8">
      <w:pPr>
        <w:overflowPunct w:val="0"/>
        <w:autoSpaceDE w:val="0"/>
        <w:autoSpaceDN w:val="0"/>
        <w:adjustRightInd w:val="0"/>
        <w:spacing w:before="100" w:after="200"/>
        <w:ind w:left="1440" w:hanging="101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                </w:t>
      </w:r>
    </w:p>
    <w:p w:rsidR="00B42217" w:rsidRPr="000971D8" w:rsidRDefault="004B2B97" w:rsidP="000971D8">
      <w:pPr>
        <w:spacing w:before="100" w:after="200"/>
        <w:jc w:val="left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0971D8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Specimen Collection</w:t>
      </w:r>
    </w:p>
    <w:p w:rsidR="00B42217" w:rsidRPr="000971D8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0971D8">
        <w:rPr>
          <w:rFonts w:ascii="Calibri" w:eastAsia="Times New Roman" w:hAnsi="Calibri" w:cs="Times New Roman"/>
          <w:color w:val="17365D"/>
          <w:lang w:eastAsia="en-AU"/>
        </w:rPr>
        <w:t>It is suggested that your faeces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(poo) 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>sample is collecte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>d initially into a plastic disposable container (an ice-cream container is ideal).</w:t>
      </w:r>
    </w:p>
    <w:p w:rsidR="00B42217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There is a pooper scooper attached on the inside of the brown lid.  Scoop a 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 xml:space="preserve">small portion </w:t>
      </w:r>
      <w:r>
        <w:rPr>
          <w:rFonts w:ascii="Calibri" w:eastAsia="Times New Roman" w:hAnsi="Calibri" w:cs="Times New Roman"/>
          <w:color w:val="17365D"/>
          <w:lang w:eastAsia="en-AU"/>
        </w:rPr>
        <w:t>of your sample, about the size of walnut, and place into the white container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>.</w:t>
      </w:r>
    </w:p>
    <w:p w:rsidR="00B42217" w:rsidRPr="000971D8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Disca</w:t>
      </w:r>
      <w:r>
        <w:rPr>
          <w:rFonts w:ascii="Calibri" w:eastAsia="Times New Roman" w:hAnsi="Calibri" w:cs="Times New Roman"/>
          <w:color w:val="17365D"/>
          <w:lang w:eastAsia="en-AU"/>
        </w:rPr>
        <w:t>rd the remainder of your sample in the toilet and dispose of the container and gloves (if used)</w:t>
      </w:r>
    </w:p>
    <w:p w:rsidR="00B42217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0971D8">
        <w:rPr>
          <w:rFonts w:ascii="Calibri" w:eastAsia="Times New Roman" w:hAnsi="Calibri" w:cs="Times New Roman"/>
          <w:color w:val="17365D"/>
          <w:lang w:eastAsia="en-AU"/>
        </w:rPr>
        <w:t xml:space="preserve">Ensure lid is tightly sealed. </w:t>
      </w:r>
    </w:p>
    <w:p w:rsidR="00B42217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Label the container with your Surname, First Name, Date of Birth, UR number (if available on your request form).</w:t>
      </w:r>
      <w:r>
        <w:rPr>
          <w:rFonts w:ascii="Calibri" w:eastAsia="Times New Roman" w:hAnsi="Calibri" w:cs="Times New Roman"/>
          <w:color w:val="17365D"/>
          <w:lang w:eastAsia="en-AU"/>
        </w:rPr>
        <w:br/>
        <w:t xml:space="preserve">It is important </w:t>
      </w:r>
      <w:r>
        <w:rPr>
          <w:rFonts w:ascii="Calibri" w:eastAsia="Times New Roman" w:hAnsi="Calibri" w:cs="Times New Roman"/>
          <w:color w:val="17365D"/>
          <w:lang w:eastAsia="en-AU"/>
        </w:rPr>
        <w:t>to also document on the jar the date and time you collected your sample.</w:t>
      </w:r>
    </w:p>
    <w:p w:rsidR="00B42217" w:rsidRPr="000971D8" w:rsidRDefault="004B2B97" w:rsidP="000971D8">
      <w:pPr>
        <w:pStyle w:val="ListParagraph"/>
        <w:numPr>
          <w:ilvl w:val="0"/>
          <w:numId w:val="3"/>
        </w:numPr>
        <w:spacing w:before="100" w:after="200"/>
        <w:jc w:val="left"/>
        <w:rPr>
          <w:rFonts w:ascii="Calibri" w:eastAsia="Times New Roman" w:hAnsi="Calibri" w:cs="Times New Roman"/>
          <w:color w:val="17365D"/>
          <w:lang w:eastAsia="en-AU"/>
        </w:rPr>
      </w:pPr>
      <w:r w:rsidRPr="000971D8">
        <w:rPr>
          <w:rFonts w:ascii="Calibri" w:eastAsia="Times New Roman" w:hAnsi="Calibri" w:cs="Times New Roman"/>
          <w:color w:val="17365D"/>
          <w:lang w:eastAsia="en-AU"/>
        </w:rPr>
        <w:t xml:space="preserve">Place in specimen bag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provided </w:t>
      </w:r>
      <w:r w:rsidRPr="000971D8">
        <w:rPr>
          <w:rFonts w:ascii="Calibri" w:eastAsia="Times New Roman" w:hAnsi="Calibri" w:cs="Times New Roman"/>
          <w:color w:val="17365D"/>
          <w:lang w:eastAsia="en-AU"/>
        </w:rPr>
        <w:t>and seal.</w:t>
      </w:r>
    </w:p>
    <w:p w:rsidR="00B42217" w:rsidRPr="00F33C13" w:rsidRDefault="004B2B97" w:rsidP="00F33C1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after="200"/>
        <w:jc w:val="left"/>
        <w:textAlignment w:val="baseline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F33C13">
        <w:rPr>
          <w:rFonts w:ascii="Calibri" w:eastAsia="Times New Roman" w:hAnsi="Calibri" w:cs="Times New Roman"/>
          <w:color w:val="17365D"/>
          <w:lang w:eastAsia="en-AU"/>
        </w:rPr>
        <w:t xml:space="preserve">Place sample in fridge prior to dropping off to your closest Eastern Health Pathology Collection Centre.  See list below.  It is important to </w:t>
      </w:r>
      <w:r w:rsidRPr="00F33C13">
        <w:rPr>
          <w:rFonts w:ascii="Calibri" w:eastAsia="Times New Roman" w:hAnsi="Calibri" w:cs="Times New Roman"/>
          <w:color w:val="17365D"/>
          <w:lang w:eastAsia="en-AU"/>
        </w:rPr>
        <w:t>get your sam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ple to us as fresh as possible for testing. </w:t>
      </w:r>
    </w:p>
    <w:p w:rsidR="00B42217" w:rsidRDefault="004B2B97" w:rsidP="009E6CD7">
      <w:pPr>
        <w:overflowPunct w:val="0"/>
        <w:autoSpaceDE w:val="0"/>
        <w:autoSpaceDN w:val="0"/>
        <w:adjustRightInd w:val="0"/>
        <w:spacing w:before="100" w:after="200"/>
        <w:ind w:left="644"/>
        <w:jc w:val="left"/>
        <w:textAlignment w:val="baseline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</w:p>
    <w:p w:rsidR="00B42217" w:rsidRPr="00F33C13" w:rsidRDefault="004B2B97" w:rsidP="009E6CD7">
      <w:pPr>
        <w:overflowPunct w:val="0"/>
        <w:autoSpaceDE w:val="0"/>
        <w:autoSpaceDN w:val="0"/>
        <w:adjustRightInd w:val="0"/>
        <w:spacing w:before="100" w:after="200"/>
        <w:ind w:left="644"/>
        <w:jc w:val="left"/>
        <w:textAlignment w:val="baseline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Pa</w:t>
      </w:r>
      <w:r w:rsidRPr="00F33C13"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  <w:t>thology Collection</w:t>
      </w:r>
    </w:p>
    <w:p w:rsidR="00B42217" w:rsidRPr="00FE2BC8" w:rsidRDefault="004B2B97" w:rsidP="009E6CD7">
      <w:pPr>
        <w:overflowPunct w:val="0"/>
        <w:autoSpaceDE w:val="0"/>
        <w:autoSpaceDN w:val="0"/>
        <w:adjustRightInd w:val="0"/>
        <w:ind w:left="64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FE2BC8">
        <w:rPr>
          <w:rFonts w:ascii="Calibri" w:eastAsia="Times New Roman" w:hAnsi="Calibri" w:cs="Times New Roman"/>
          <w:color w:val="17365D"/>
          <w:lang w:eastAsia="en-AU"/>
        </w:rPr>
        <w:t>Angliss Hospital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9764 6135</w:t>
      </w:r>
    </w:p>
    <w:p w:rsidR="00B42217" w:rsidRPr="00FE2BC8" w:rsidRDefault="004B2B97" w:rsidP="009E6CD7">
      <w:pPr>
        <w:overflowPunct w:val="0"/>
        <w:autoSpaceDE w:val="0"/>
        <w:autoSpaceDN w:val="0"/>
        <w:adjustRightInd w:val="0"/>
        <w:ind w:left="644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FE2BC8">
        <w:rPr>
          <w:rFonts w:ascii="Calibri" w:eastAsia="Times New Roman" w:hAnsi="Calibri" w:cs="Times New Roman"/>
          <w:color w:val="17365D"/>
          <w:lang w:eastAsia="en-AU"/>
        </w:rPr>
        <w:t xml:space="preserve">Box Hill Hospital                          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9895 4905</w:t>
      </w:r>
    </w:p>
    <w:p w:rsidR="00B42217" w:rsidRPr="00FE2BC8" w:rsidRDefault="004B2B97" w:rsidP="009E6CD7">
      <w:pPr>
        <w:ind w:left="644"/>
        <w:jc w:val="left"/>
        <w:rPr>
          <w:rFonts w:ascii="Calibri" w:eastAsia="Times New Roman" w:hAnsi="Calibri" w:cs="Times New Roman"/>
          <w:b/>
          <w:color w:val="17365D"/>
          <w:lang w:eastAsia="en-AU"/>
        </w:rPr>
      </w:pPr>
      <w:r w:rsidRPr="00FE2BC8">
        <w:rPr>
          <w:rFonts w:ascii="Calibri" w:eastAsia="Times New Roman" w:hAnsi="Calibri" w:cs="Times New Roman"/>
          <w:color w:val="17365D"/>
          <w:lang w:eastAsia="en-AU"/>
        </w:rPr>
        <w:t>Healesville Collection Centre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5969 9949</w:t>
      </w:r>
    </w:p>
    <w:p w:rsidR="00B42217" w:rsidRPr="00FE2BC8" w:rsidRDefault="004B2B97" w:rsidP="009E6CD7">
      <w:pPr>
        <w:overflowPunct w:val="0"/>
        <w:autoSpaceDE w:val="0"/>
        <w:autoSpaceDN w:val="0"/>
        <w:adjustRightInd w:val="0"/>
        <w:ind w:left="64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FE2BC8">
        <w:rPr>
          <w:rFonts w:ascii="Calibri" w:eastAsia="Times New Roman" w:hAnsi="Calibri" w:cs="Times New Roman"/>
          <w:color w:val="17365D"/>
          <w:lang w:eastAsia="en-AU"/>
        </w:rPr>
        <w:t>Maroondah Hospital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FE2BC8">
        <w:rPr>
          <w:rFonts w:ascii="Calibri" w:eastAsia="Times New Roman" w:hAnsi="Calibri" w:cs="Times New Roman"/>
          <w:color w:val="17365D"/>
          <w:lang w:eastAsia="en-AU"/>
        </w:rPr>
        <w:tab/>
        <w:t>9871 3572</w:t>
      </w:r>
    </w:p>
    <w:p w:rsidR="00B42217" w:rsidRDefault="004B2B97" w:rsidP="009E6CD7">
      <w:pPr>
        <w:overflowPunct w:val="0"/>
        <w:autoSpaceDE w:val="0"/>
        <w:autoSpaceDN w:val="0"/>
        <w:adjustRightInd w:val="0"/>
        <w:ind w:left="64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Yarra Ranges </w:t>
      </w:r>
      <w:r>
        <w:rPr>
          <w:rFonts w:ascii="Calibri" w:eastAsia="Times New Roman" w:hAnsi="Calibri" w:cs="Times New Roman"/>
          <w:color w:val="17365D"/>
          <w:lang w:eastAsia="en-AU"/>
        </w:rPr>
        <w:t>Health                      -              8706 9665</w:t>
      </w:r>
    </w:p>
    <w:p w:rsidR="00B42217" w:rsidRDefault="004B2B97" w:rsidP="009E6CD7">
      <w:pPr>
        <w:overflowPunct w:val="0"/>
        <w:autoSpaceDE w:val="0"/>
        <w:autoSpaceDN w:val="0"/>
        <w:adjustRightInd w:val="0"/>
        <w:ind w:left="644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</w:p>
    <w:p w:rsidR="00B42217" w:rsidRPr="00FE2BC8" w:rsidRDefault="004B2B97" w:rsidP="00C26A5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br/>
      </w:r>
    </w:p>
    <w:p w:rsidR="00B42217" w:rsidRPr="00A7083E" w:rsidRDefault="004B2B97" w:rsidP="00652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enter" w:pos="4153"/>
          <w:tab w:val="right" w:pos="8306"/>
        </w:tabs>
        <w:rPr>
          <w:sz w:val="16"/>
          <w:szCs w:val="16"/>
        </w:rPr>
      </w:pPr>
      <w:r w:rsidRPr="00A7083E">
        <w:rPr>
          <w:sz w:val="16"/>
          <w:szCs w:val="16"/>
          <w:lang w:val="en-US"/>
        </w:rPr>
        <w:t>PRINTED COPY PERMITTED</w:t>
      </w:r>
      <w:r w:rsidRPr="00A7083E">
        <w:rPr>
          <w:sz w:val="16"/>
          <w:szCs w:val="16"/>
          <w:lang w:val="en-US"/>
        </w:rPr>
        <w:tab/>
      </w:r>
      <w:r w:rsidRPr="00A7083E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A7083E">
        <w:rPr>
          <w:sz w:val="16"/>
          <w:szCs w:val="16"/>
          <w:lang w:val="en-US"/>
        </w:rPr>
        <w:t xml:space="preserve">DATE OF PRINTING : </w:t>
      </w:r>
      <w:r w:rsidRPr="00EB3597">
        <w:fldChar w:fldCharType="begin"/>
      </w:r>
      <w:r>
        <w:instrText xml:space="preserve"> DATE  \l  \* MERGEFORMAT </w:instrText>
      </w:r>
      <w:r w:rsidRPr="00EB3597">
        <w:fldChar w:fldCharType="separate"/>
      </w:r>
      <w:r w:rsidRPr="004B2B97">
        <w:rPr>
          <w:noProof/>
          <w:sz w:val="16"/>
          <w:szCs w:val="16"/>
        </w:rPr>
        <w:t>30/01/2025</w:t>
      </w:r>
      <w:r w:rsidRPr="00EB3597">
        <w:rPr>
          <w:noProof/>
          <w:sz w:val="16"/>
          <w:szCs w:val="16"/>
        </w:rPr>
        <w:fldChar w:fldCharType="end"/>
      </w:r>
    </w:p>
    <w:p w:rsidR="00B42217" w:rsidRPr="00A7083E" w:rsidRDefault="004B2B97" w:rsidP="00EB5F18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sz w:val="16"/>
          <w:szCs w:val="16"/>
        </w:rPr>
      </w:pPr>
      <w:r w:rsidRPr="00A7083E">
        <w:rPr>
          <w:sz w:val="16"/>
          <w:szCs w:val="16"/>
        </w:rPr>
        <w:t xml:space="preserve">Faeces </w:t>
      </w:r>
      <w:r>
        <w:rPr>
          <w:sz w:val="16"/>
          <w:szCs w:val="16"/>
        </w:rPr>
        <w:t>C.difficile toxin</w:t>
      </w:r>
      <w:r w:rsidRPr="00A7083E">
        <w:rPr>
          <w:sz w:val="16"/>
          <w:szCs w:val="16"/>
        </w:rPr>
        <w:t xml:space="preserve"> Collection Guide</w:t>
      </w:r>
      <w:r w:rsidRPr="00A7083E">
        <w:rPr>
          <w:sz w:val="16"/>
          <w:szCs w:val="16"/>
        </w:rPr>
        <w:tab/>
      </w:r>
      <w:r w:rsidRPr="00A7083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7083E">
        <w:rPr>
          <w:sz w:val="16"/>
          <w:szCs w:val="16"/>
        </w:rPr>
        <w:t xml:space="preserve">Date: </w:t>
      </w:r>
      <w:r>
        <w:rPr>
          <w:sz w:val="16"/>
          <w:szCs w:val="16"/>
        </w:rPr>
        <w:t>16/12/2024</w:t>
      </w:r>
    </w:p>
    <w:p w:rsidR="00B42217" w:rsidRPr="00A7083E" w:rsidRDefault="004B2B97" w:rsidP="00EB5F18">
      <w:pPr>
        <w:pStyle w:val="Footer"/>
        <w:pBdr>
          <w:top w:val="single" w:sz="4" w:space="0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sz w:val="16"/>
          <w:szCs w:val="16"/>
        </w:rPr>
      </w:pPr>
      <w:r w:rsidRPr="00A7083E">
        <w:rPr>
          <w:sz w:val="16"/>
          <w:szCs w:val="16"/>
        </w:rPr>
        <w:t>WORK-CS-31</w:t>
      </w:r>
      <w:r w:rsidRPr="00A7083E">
        <w:rPr>
          <w:sz w:val="16"/>
          <w:szCs w:val="16"/>
        </w:rPr>
        <w:tab/>
      </w:r>
      <w:r w:rsidRPr="00A7083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7083E">
        <w:rPr>
          <w:snapToGrid w:val="0"/>
          <w:sz w:val="16"/>
          <w:szCs w:val="16"/>
        </w:rPr>
        <w:t xml:space="preserve">Page </w:t>
      </w:r>
      <w:r w:rsidRPr="00A7083E">
        <w:rPr>
          <w:snapToGrid w:val="0"/>
          <w:sz w:val="16"/>
          <w:szCs w:val="16"/>
        </w:rPr>
        <w:fldChar w:fldCharType="begin"/>
      </w:r>
      <w:r w:rsidRPr="00A7083E">
        <w:rPr>
          <w:snapToGrid w:val="0"/>
          <w:sz w:val="16"/>
          <w:szCs w:val="16"/>
        </w:rPr>
        <w:instrText xml:space="preserve"> PAGE </w:instrText>
      </w:r>
      <w:r w:rsidRPr="00A7083E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1</w:t>
      </w:r>
      <w:r w:rsidRPr="00A7083E">
        <w:rPr>
          <w:snapToGrid w:val="0"/>
          <w:sz w:val="16"/>
          <w:szCs w:val="16"/>
        </w:rPr>
        <w:fldChar w:fldCharType="end"/>
      </w:r>
      <w:r w:rsidRPr="00A7083E">
        <w:rPr>
          <w:snapToGrid w:val="0"/>
          <w:sz w:val="16"/>
          <w:szCs w:val="16"/>
        </w:rPr>
        <w:t xml:space="preserve"> of </w:t>
      </w:r>
      <w:r w:rsidRPr="00A7083E">
        <w:rPr>
          <w:snapToGrid w:val="0"/>
          <w:sz w:val="16"/>
          <w:szCs w:val="16"/>
        </w:rPr>
        <w:fldChar w:fldCharType="begin"/>
      </w:r>
      <w:r w:rsidRPr="00A7083E">
        <w:rPr>
          <w:snapToGrid w:val="0"/>
          <w:sz w:val="16"/>
          <w:szCs w:val="16"/>
        </w:rPr>
        <w:instrText xml:space="preserve"> NUMPAGES </w:instrText>
      </w:r>
      <w:r w:rsidRPr="00A7083E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1</w:t>
      </w:r>
      <w:r w:rsidRPr="00A7083E">
        <w:rPr>
          <w:snapToGrid w:val="0"/>
          <w:sz w:val="16"/>
          <w:szCs w:val="16"/>
        </w:rPr>
        <w:fldChar w:fldCharType="end"/>
      </w:r>
    </w:p>
    <w:p w:rsidR="002E0F3E" w:rsidRPr="00BC7D4B" w:rsidRDefault="004B2B97" w:rsidP="00B42217">
      <w:pPr>
        <w:tabs>
          <w:tab w:val="right" w:pos="11056"/>
        </w:tabs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  <w:r>
        <w:rPr>
          <w:rFonts w:cstheme="minorHAnsi"/>
          <w:noProof/>
          <w:color w:val="17365D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235586</wp:posOffset>
                </wp:positionV>
                <wp:extent cx="161925" cy="45719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19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217" w:rsidRPr="00D26049" w:rsidRDefault="004B2B97" w:rsidP="00FF4166">
                            <w:pPr>
                              <w:jc w:val="right"/>
                              <w:rPr>
                                <w:color w:val="17365D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45pt;margin-top:18.55pt;width:12.75pt;height:3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" stroked="f">
                <v:textbox>
                  <w:txbxContent>
                    <w:p w:rsidR="00B42217" w:rsidRPr="00D26049" w:rsidRDefault="004B2B97" w:rsidP="00FF4166">
                      <w:pPr>
                        <w:jc w:val="right"/>
                        <w:rPr>
                          <w:color w:val="17365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bCs/>
          <w:color w:val="17365D"/>
          <w:lang w:eastAsia="en-AU"/>
        </w:rPr>
        <w:tab/>
      </w:r>
    </w:p>
    <w:sectPr w:rsidR="002E0F3E" w:rsidRPr="00BC7D4B" w:rsidSect="009C2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426" w:right="424" w:bottom="426" w:left="426" w:header="435" w:footer="1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2B97">
      <w:r>
        <w:separator/>
      </w:r>
    </w:p>
  </w:endnote>
  <w:endnote w:type="continuationSeparator" w:id="0">
    <w:p w:rsidR="00000000" w:rsidRDefault="004B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7" w:rsidRDefault="004B2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17" w:rsidRPr="007736C8" w:rsidRDefault="004B2B97" w:rsidP="009C2E2F">
    <w:pPr>
      <w:pStyle w:val="Footer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17" w:rsidRPr="009C2E2F" w:rsidRDefault="004B2B97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Eastern Health Authorisation # </w:t>
    </w:r>
    <w:r>
      <w:rPr>
        <w:sz w:val="20"/>
        <w:szCs w:val="20"/>
        <w:shd w:val="clear" w:color="auto" w:fill="17365D" w:themeFill="text2" w:themeFillShade="BF"/>
      </w:rPr>
      <w:t>PATH 0714 177.1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954974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  <w:shd w:val="clear" w:color="auto" w:fill="17365D" w:themeFill="text2" w:themeFillShade="BF"/>
          </w:rPr>
          <w:t xml:space="preserve">         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B42217" w:rsidRDefault="004B2B97" w:rsidP="009C2E2F">
    <w:pPr>
      <w:pStyle w:val="Footer"/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2B97">
      <w:r>
        <w:separator/>
      </w:r>
    </w:p>
  </w:footnote>
  <w:footnote w:type="continuationSeparator" w:id="0">
    <w:p w:rsidR="00000000" w:rsidRDefault="004B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7" w:rsidRDefault="004B2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B97" w:rsidRDefault="004B2B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17" w:rsidRDefault="004B2B97" w:rsidP="007736C8">
    <w:pPr>
      <w:pStyle w:val="Header"/>
      <w:jc w:val="right"/>
    </w:pPr>
    <w:r>
      <w:rPr>
        <w:rFonts w:ascii="Arial" w:hAnsi="Arial" w:cs="Arial"/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9525</wp:posOffset>
              </wp:positionV>
              <wp:extent cx="6848575" cy="1343067"/>
              <wp:effectExtent l="0" t="0" r="0" b="9525"/>
              <wp:wrapNone/>
              <wp:docPr id="4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575" cy="1343067"/>
                        <a:chOff x="0" y="0"/>
                        <a:chExt cx="68485" cy="13430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49999" cy="4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217" w:rsidRPr="00A7083E" w:rsidRDefault="004B2B97" w:rsidP="00040FB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7083E">
                              <w:rPr>
                                <w:rFonts w:cstheme="minorHAnsi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FAECES FOR CLOSTRIDIUM DIFFICLE TOXIN  </w:t>
                            </w:r>
                          </w:p>
                          <w:p w:rsidR="00B42217" w:rsidRPr="00FE7543" w:rsidRDefault="004B2B97" w:rsidP="00B61761">
                            <w:pP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620" y="7239"/>
                          <a:ext cx="62865" cy="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217" w:rsidRPr="00586480" w:rsidRDefault="004B2B97" w:rsidP="00753F97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If you have any English language difficulties, please ask staff to book an interpreter. </w:t>
                            </w:r>
                          </w:p>
                          <w:p w:rsidR="00B42217" w:rsidRPr="00586480" w:rsidRDefault="004B2B97" w:rsidP="00753F97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From home contact the Telephone Interpreter Service on 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</w:rPr>
                              <w:t>9605 3056</w:t>
                            </w:r>
                          </w:p>
                          <w:p w:rsidR="00B42217" w:rsidRPr="00586480" w:rsidRDefault="004B2B97" w:rsidP="00753F97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Services are provided free of charge. Ask staff if this information is available in your preferred language.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" cy="4191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217" w:rsidRPr="001D258B" w:rsidRDefault="004B2B97" w:rsidP="007736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5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49" style="height:105.75pt;margin-left:-4.05pt;margin-top:0.75pt;position:absolute;width:539.25pt;z-index:251659264" coordsize="68485,134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0" type="#_x0000_t202" style="height:4191;mso-wrap-style:square;position:absolute;top:4762;v-text-anchor:top;visibility:visible;width:49999" filled="f" fillcolor="#1f497d" stroked="f">
                <v:textbox>
                  <w:txbxContent>
                    <w:p w:rsidR="00EB5F18" w:rsidRPr="00A7083E" w:rsidP="00040FBC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A7083E">
                        <w:rPr>
                          <w:rFonts w:cstheme="minorHAnsi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FAECES FOR </w:t>
                      </w:r>
                      <w:r w:rsidRPr="00A7083E">
                        <w:rPr>
                          <w:rFonts w:cstheme="minorHAnsi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CLOSTRIDIUM DIFFICLE TOXIN  </w:t>
                      </w:r>
                    </w:p>
                    <w:p w:rsidR="00EB5F18" w:rsidRPr="00FE7543" w:rsidP="00B61761">
                      <w:pP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" o:spid="_x0000_s2051" type="#_x0000_t202" style="height:6191;left:5620;mso-wrap-style:square;position:absolute;top:7239;v-text-anchor:top;visibility:visible;width:62865" filled="f" stroked="f">
                <v:textbox>
                  <w:txbxContent>
                    <w:p w:rsidR="00753F97" w:rsidRPr="00586480" w:rsidP="00753F97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If you have any English language difficulties, please ask staff to book an interpreter. </w:t>
                      </w:r>
                    </w:p>
                    <w:p w:rsidR="00753F97" w:rsidRPr="00586480" w:rsidP="00753F97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From home contact the Telephone Interpreter Service on </w:t>
                      </w:r>
                      <w:r>
                        <w:rPr>
                          <w:rFonts w:cstheme="minorHAnsi"/>
                          <w:color w:val="17365D" w:themeColor="text2" w:themeShade="BF"/>
                        </w:rPr>
                        <w:t>9605 3056</w:t>
                      </w:r>
                    </w:p>
                    <w:p w:rsidR="00EB5F18" w:rsidRPr="00586480" w:rsidP="00753F97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Services are provided free of charge. Ask staff if this information is available in your preferred lan</w:t>
                      </w: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guage.</w:t>
                      </w:r>
                    </w:p>
                  </w:txbxContent>
                </v:textbox>
              </v:shape>
              <v:shape id="Text Box 3" o:spid="_x0000_s2052" type="#_x0000_t202" style="height:4191;mso-wrap-style:square;position:absolute;v-text-anchor:top;visibility:visible;width:50292" fillcolor="#1f497d" stroked="f">
                <v:textbox>
                  <w:txbxContent>
                    <w:p w:rsidR="00EB5F18" w:rsidRPr="001D258B" w:rsidP="007736C8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58B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Sheet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AU"/>
      </w:rPr>
      <w:drawing>
        <wp:inline distT="0" distB="0" distL="0" distR="0">
          <wp:extent cx="1369709" cy="504190"/>
          <wp:effectExtent l="0" t="0" r="1905" b="0"/>
          <wp:docPr id="8" name="Picture 8" descr="EH Stacked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H Stacked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414" cy="51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217" w:rsidRDefault="004B2B97" w:rsidP="007736C8">
    <w:pPr>
      <w:pStyle w:val="Header"/>
      <w:jc w:val="right"/>
    </w:pPr>
  </w:p>
  <w:p w:rsidR="00B42217" w:rsidRDefault="004B2B97">
    <w:pPr>
      <w:pStyle w:val="Header"/>
    </w:pPr>
  </w:p>
  <w:p w:rsidR="00B42217" w:rsidRDefault="004B2B97" w:rsidP="007736C8">
    <w:pPr>
      <w:pStyle w:val="Header"/>
      <w:pBdr>
        <w:bottom w:val="single" w:sz="8" w:space="1" w:color="17365D" w:themeColor="text2" w:themeShade="BF"/>
      </w:pBdr>
    </w:pPr>
    <w:r w:rsidRPr="00D27AC8">
      <w:rPr>
        <w:noProof/>
        <w:lang w:eastAsia="en-AU"/>
      </w:rPr>
      <w:drawing>
        <wp:inline distT="0" distB="0" distL="0" distR="0">
          <wp:extent cx="514350" cy="5143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217" w:rsidRPr="007736C8" w:rsidRDefault="004B2B97" w:rsidP="007736C8">
    <w:pPr>
      <w:pStyle w:val="Header"/>
      <w:pBdr>
        <w:bottom w:val="single" w:sz="8" w:space="1" w:color="17365D" w:themeColor="text2" w:themeShade="BF"/>
      </w:pBdr>
      <w:rPr>
        <w:sz w:val="10"/>
        <w:szCs w:val="10"/>
      </w:rPr>
    </w:pPr>
  </w:p>
  <w:p w:rsidR="00B42217" w:rsidRDefault="004B2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DFB"/>
    <w:multiLevelType w:val="hybridMultilevel"/>
    <w:tmpl w:val="70946EDE"/>
    <w:lvl w:ilvl="0" w:tplc="D6AAE8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199CCF9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C75C994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AC2A773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C56C4DC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37D8C4D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4C441D6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5D9CA45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8E362EC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54A91C27"/>
    <w:multiLevelType w:val="hybridMultilevel"/>
    <w:tmpl w:val="5B36AFE8"/>
    <w:lvl w:ilvl="0" w:tplc="0C3A61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82F0ABB2" w:tentative="1">
      <w:start w:val="1"/>
      <w:numFmt w:val="lowerLetter"/>
      <w:lvlText w:val="%2."/>
      <w:lvlJc w:val="left"/>
      <w:pPr>
        <w:ind w:left="1440" w:hanging="360"/>
      </w:pPr>
    </w:lvl>
    <w:lvl w:ilvl="2" w:tplc="4868509C" w:tentative="1">
      <w:start w:val="1"/>
      <w:numFmt w:val="lowerRoman"/>
      <w:lvlText w:val="%3."/>
      <w:lvlJc w:val="right"/>
      <w:pPr>
        <w:ind w:left="2160" w:hanging="180"/>
      </w:pPr>
    </w:lvl>
    <w:lvl w:ilvl="3" w:tplc="DCA41A60" w:tentative="1">
      <w:start w:val="1"/>
      <w:numFmt w:val="decimal"/>
      <w:lvlText w:val="%4."/>
      <w:lvlJc w:val="left"/>
      <w:pPr>
        <w:ind w:left="2880" w:hanging="360"/>
      </w:pPr>
    </w:lvl>
    <w:lvl w:ilvl="4" w:tplc="568826D0" w:tentative="1">
      <w:start w:val="1"/>
      <w:numFmt w:val="lowerLetter"/>
      <w:lvlText w:val="%5."/>
      <w:lvlJc w:val="left"/>
      <w:pPr>
        <w:ind w:left="3600" w:hanging="360"/>
      </w:pPr>
    </w:lvl>
    <w:lvl w:ilvl="5" w:tplc="64126CA2" w:tentative="1">
      <w:start w:val="1"/>
      <w:numFmt w:val="lowerRoman"/>
      <w:lvlText w:val="%6."/>
      <w:lvlJc w:val="right"/>
      <w:pPr>
        <w:ind w:left="4320" w:hanging="180"/>
      </w:pPr>
    </w:lvl>
    <w:lvl w:ilvl="6" w:tplc="1D3038F0" w:tentative="1">
      <w:start w:val="1"/>
      <w:numFmt w:val="decimal"/>
      <w:lvlText w:val="%7."/>
      <w:lvlJc w:val="left"/>
      <w:pPr>
        <w:ind w:left="5040" w:hanging="360"/>
      </w:pPr>
    </w:lvl>
    <w:lvl w:ilvl="7" w:tplc="CF42AEE8" w:tentative="1">
      <w:start w:val="1"/>
      <w:numFmt w:val="lowerLetter"/>
      <w:lvlText w:val="%8."/>
      <w:lvlJc w:val="left"/>
      <w:pPr>
        <w:ind w:left="5760" w:hanging="360"/>
      </w:pPr>
    </w:lvl>
    <w:lvl w:ilvl="8" w:tplc="78607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A2BC1"/>
    <w:multiLevelType w:val="hybridMultilevel"/>
    <w:tmpl w:val="86E81688"/>
    <w:lvl w:ilvl="0" w:tplc="D6EA8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46CDA" w:tentative="1">
      <w:start w:val="1"/>
      <w:numFmt w:val="lowerLetter"/>
      <w:lvlText w:val="%2."/>
      <w:lvlJc w:val="left"/>
      <w:pPr>
        <w:ind w:left="1440" w:hanging="360"/>
      </w:pPr>
    </w:lvl>
    <w:lvl w:ilvl="2" w:tplc="41526BF2" w:tentative="1">
      <w:start w:val="1"/>
      <w:numFmt w:val="lowerRoman"/>
      <w:lvlText w:val="%3."/>
      <w:lvlJc w:val="right"/>
      <w:pPr>
        <w:ind w:left="2160" w:hanging="180"/>
      </w:pPr>
    </w:lvl>
    <w:lvl w:ilvl="3" w:tplc="80E8D9CC" w:tentative="1">
      <w:start w:val="1"/>
      <w:numFmt w:val="decimal"/>
      <w:lvlText w:val="%4."/>
      <w:lvlJc w:val="left"/>
      <w:pPr>
        <w:ind w:left="2880" w:hanging="360"/>
      </w:pPr>
    </w:lvl>
    <w:lvl w:ilvl="4" w:tplc="12EA1E88" w:tentative="1">
      <w:start w:val="1"/>
      <w:numFmt w:val="lowerLetter"/>
      <w:lvlText w:val="%5."/>
      <w:lvlJc w:val="left"/>
      <w:pPr>
        <w:ind w:left="3600" w:hanging="360"/>
      </w:pPr>
    </w:lvl>
    <w:lvl w:ilvl="5" w:tplc="B90A308C" w:tentative="1">
      <w:start w:val="1"/>
      <w:numFmt w:val="lowerRoman"/>
      <w:lvlText w:val="%6."/>
      <w:lvlJc w:val="right"/>
      <w:pPr>
        <w:ind w:left="4320" w:hanging="180"/>
      </w:pPr>
    </w:lvl>
    <w:lvl w:ilvl="6" w:tplc="E0DC0F00" w:tentative="1">
      <w:start w:val="1"/>
      <w:numFmt w:val="decimal"/>
      <w:lvlText w:val="%7."/>
      <w:lvlJc w:val="left"/>
      <w:pPr>
        <w:ind w:left="5040" w:hanging="360"/>
      </w:pPr>
    </w:lvl>
    <w:lvl w:ilvl="7" w:tplc="C960F886" w:tentative="1">
      <w:start w:val="1"/>
      <w:numFmt w:val="lowerLetter"/>
      <w:lvlText w:val="%8."/>
      <w:lvlJc w:val="left"/>
      <w:pPr>
        <w:ind w:left="5760" w:hanging="360"/>
      </w:pPr>
    </w:lvl>
    <w:lvl w:ilvl="8" w:tplc="E834A5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40:18 PM"/>
    <w:docVar w:name="InternalQPulse_CurrentUserName" w:val="McGlinchey, Andrew"/>
    <w:docVar w:name="InternalQPulse_DatabaseAlias" w:val="Pathology"/>
    <w:docVar w:name="InternalQPulse_DocActiveDate" w:val="16/12/2024"/>
    <w:docVar w:name="InternalQPulse_DocAuthor" w:val="McGlinchey, Andrew"/>
    <w:docVar w:name="InternalQPulse_DocLastReviewDate" w:val="18/11/2022"/>
    <w:docVar w:name="InternalQPulse_DocLastReviewDetails" w:val="Need to update logo and  correction of  MH and YRH path collection no"/>
    <w:docVar w:name="InternalQPulse_DocLastReviewOwner" w:val="Sachde, Leena"/>
    <w:docVar w:name="InternalQPulse_DocNumber" w:val="WORK-CS-31"/>
    <w:docVar w:name="InternalQPulse_DocOwner" w:val="Dave, Purvi"/>
    <w:docVar w:name="InternalQPulse_DocReviewDate" w:val="16/12/2027"/>
    <w:docVar w:name="InternalQPulse_DocRevisionNumber" w:val="8"/>
    <w:docVar w:name="InternalQPulse_DocStatus" w:val="Active"/>
    <w:docVar w:name="InternalQPulse_DocTitle" w:val="Faeces Clostridium Difficlie Toxin Patient Instructions"/>
    <w:docVar w:name="InternalQPulse_DocType" w:val="Quality Documents\Work Instruction\Collection Services"/>
    <w:docVar w:name="InternalQPulse_LanguageID" w:val="0"/>
    <w:docVar w:name="QPulse_CurrentDateTime" w:val="30/01/2025 12:40:18 PM"/>
    <w:docVar w:name="QPulse_CurrentUserName" w:val="McGlinchey, Andrew"/>
    <w:docVar w:name="QPulse_DatabaseAlias" w:val="Pathology"/>
    <w:docVar w:name="QPulse_DocActiveDate" w:val="16/12/2024"/>
    <w:docVar w:name="QPulse_DocAuthor" w:val="McGlinchey, Andrew"/>
    <w:docVar w:name="QPulse_DocChangeDetails" w:val="&lt;QPulse_DocChangeDetails&gt;"/>
    <w:docVar w:name="QPulse_DocLastReviewDate" w:val="18/11/2022"/>
    <w:docVar w:name="QPulse_DocLastReviewDetails" w:val="Need to update logo and  correction of  MH and YRH path collection no"/>
    <w:docVar w:name="QPulse_DocLastReviewOwner" w:val="Sachde, Leena"/>
    <w:docVar w:name="QPulse_DocNumber" w:val="WORK-CS-31"/>
    <w:docVar w:name="QPulse_DocOwner" w:val="Dave, Purvi"/>
    <w:docVar w:name="QPulse_DocReviewDate" w:val="16/12/2027"/>
    <w:docVar w:name="QPulse_DocRevisionNumber" w:val="8"/>
    <w:docVar w:name="QPulse_DocStatus" w:val="Active"/>
    <w:docVar w:name="QPulse_DocTitle" w:val="Faeces Clostridium Difficlie Toxin Patient Instructions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30a53059-dce6-4efc-bdeb-9bc5c35c35dc"/>
  </w:docVars>
  <w:rsids>
    <w:rsidRoot w:val="004B2B97"/>
    <w:rsid w:val="004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3015A6E-87A6-406D-9126-6ECA614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886"/>
  </w:style>
  <w:style w:type="paragraph" w:styleId="Heading1">
    <w:name w:val="heading 1"/>
    <w:basedOn w:val="Normal"/>
    <w:next w:val="Normal"/>
    <w:link w:val="Heading1Char"/>
    <w:qFormat/>
    <w:rsid w:val="00B61761"/>
    <w:pPr>
      <w:keepNext/>
      <w:outlineLvl w:val="0"/>
    </w:pPr>
    <w:rPr>
      <w:rFonts w:ascii="Verdana" w:eastAsia="Times New Roman" w:hAnsi="Verdan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3E"/>
  </w:style>
  <w:style w:type="paragraph" w:styleId="Footer">
    <w:name w:val="footer"/>
    <w:basedOn w:val="Normal"/>
    <w:link w:val="Foot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3E"/>
  </w:style>
  <w:style w:type="paragraph" w:styleId="ListParagraph">
    <w:name w:val="List Paragraph"/>
    <w:basedOn w:val="Normal"/>
    <w:uiPriority w:val="99"/>
    <w:qFormat/>
    <w:rsid w:val="003C2AF1"/>
    <w:pPr>
      <w:ind w:left="720"/>
      <w:contextualSpacing/>
    </w:pPr>
  </w:style>
  <w:style w:type="character" w:customStyle="1" w:styleId="c1">
    <w:name w:val="c1"/>
    <w:basedOn w:val="DefaultParagraphFont"/>
    <w:rsid w:val="00D15AA5"/>
  </w:style>
  <w:style w:type="character" w:styleId="CommentReference">
    <w:name w:val="annotation reference"/>
    <w:basedOn w:val="DefaultParagraphFont"/>
    <w:uiPriority w:val="99"/>
    <w:semiHidden/>
    <w:unhideWhenUsed/>
    <w:rsid w:val="00BA4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E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56348"/>
    <w:pPr>
      <w:jc w:val="left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15634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348"/>
    <w:pPr>
      <w:spacing w:line="360" w:lineRule="auto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B61761"/>
    <w:rPr>
      <w:rFonts w:ascii="Verdana" w:eastAsia="Times New Roman" w:hAnsi="Verdana" w:cs="Times New Roman"/>
      <w:sz w:val="24"/>
      <w:szCs w:val="20"/>
    </w:rPr>
  </w:style>
  <w:style w:type="table" w:styleId="TableGrid">
    <w:name w:val="Table Grid"/>
    <w:basedOn w:val="TableNormal"/>
    <w:uiPriority w:val="59"/>
    <w:rsid w:val="0083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E2CD-9B92-4E81-93DE-8C31428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Falzon</dc:creator>
  <cp:lastModifiedBy>Mcglinchey, Andrew</cp:lastModifiedBy>
  <cp:revision>2</cp:revision>
  <cp:lastPrinted>2018-06-29T03:57:00Z</cp:lastPrinted>
  <dcterms:created xsi:type="dcterms:W3CDTF">2025-01-30T01:40:00Z</dcterms:created>
  <dcterms:modified xsi:type="dcterms:W3CDTF">2025-01-30T01:40:00Z</dcterms:modified>
</cp:coreProperties>
</file>